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信息管理学院研究生党支部状态评估暨优秀研究生党支部评比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互</w:t>
      </w:r>
      <w:r>
        <w:rPr>
          <w:rFonts w:hint="eastAsia" w:ascii="黑体" w:hAnsi="黑体" w:eastAsia="黑体" w:cs="黑体"/>
          <w:sz w:val="32"/>
          <w:szCs w:val="32"/>
        </w:rPr>
        <w:t>评表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被评党支部：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</w:p>
    <w:p>
      <w:pPr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一、会议</w:t>
      </w:r>
      <w:r>
        <w:rPr>
          <w:rFonts w:ascii="黑体" w:hAnsi="黑体" w:eastAsia="黑体" w:cs="黑体"/>
          <w:sz w:val="28"/>
          <w:szCs w:val="32"/>
        </w:rPr>
        <w:t>记录</w:t>
      </w:r>
    </w:p>
    <w:tbl>
      <w:tblPr>
        <w:tblStyle w:val="5"/>
        <w:tblW w:w="840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674"/>
        <w:gridCol w:w="1894"/>
        <w:gridCol w:w="2013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会议记录本评定（总计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三会一课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本项最终得分（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分减扣分）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支部支委会（缺1次扣1分）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支部党员大会（缺1次扣2分）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党支部书记讲党课（缺1次扣2分）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本项评比细则：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支部支委会每月至少开展一次，记录缺失1次扣1分；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支部党员大会每季度一次，记录缺失1次扣2分；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党支部书记讲党课，记录缺失1次扣2分。</w:t>
      </w:r>
    </w:p>
    <w:p>
      <w:pPr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二</w:t>
      </w:r>
      <w:r>
        <w:rPr>
          <w:rFonts w:ascii="黑体" w:hAnsi="黑体" w:eastAsia="黑体" w:cs="黑体"/>
          <w:sz w:val="28"/>
          <w:szCs w:val="32"/>
        </w:rPr>
        <w:t>、报道情况</w:t>
      </w:r>
    </w:p>
    <w:tbl>
      <w:tblPr>
        <w:tblStyle w:val="5"/>
        <w:tblW w:w="836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188"/>
        <w:gridCol w:w="2015"/>
        <w:gridCol w:w="2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分项评分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合计评分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媒体报道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信管研究生网或《信管研究生》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学校研工部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校外媒体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本项评比细则：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在信管研究生网或《信管研究生》进行宣传报道，每篇文章加3分；被学校研工部等相关媒体报道，每篇加5分；被校外媒体报道，每篇加10分，累计最多计15分。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请各支部注意，自评时不需要提交证明材料，参与互评会时，请提供纸质证明材料，包含报道链接、截图、复印件等</w:t>
      </w:r>
    </w:p>
    <w:p>
      <w:pPr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三、</w:t>
      </w:r>
      <w:r>
        <w:rPr>
          <w:rFonts w:ascii="黑体" w:hAnsi="黑体" w:eastAsia="黑体" w:cs="黑体"/>
          <w:sz w:val="28"/>
          <w:szCs w:val="32"/>
        </w:rPr>
        <w:t>党建参与情况</w:t>
      </w:r>
    </w:p>
    <w:tbl>
      <w:tblPr>
        <w:tblStyle w:val="5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参与学校党建活动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本项评比细则：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承办学、学院组织的党建项目的支部，根据参与程度，酌情加分，每项活动3-6分，累计最多计10分。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支部成员参加学校组织的党建活动，获一等奖，加3分/人次；二等奖，加2分/人次；三等奖，加1分/人次；以党支部为整体参加</w:t>
      </w:r>
      <w:r>
        <w:rPr>
          <w:rFonts w:hint="eastAsia" w:ascii="宋体" w:hAnsi="宋体" w:eastAsia="宋体" w:cs="宋体"/>
          <w:lang w:eastAsia="zh-CN"/>
        </w:rPr>
        <w:t>省市、</w:t>
      </w:r>
      <w:r>
        <w:rPr>
          <w:rFonts w:hint="eastAsia" w:ascii="宋体" w:hAnsi="宋体" w:eastAsia="宋体" w:cs="宋体"/>
        </w:rPr>
        <w:t>学校党建活动的，</w:t>
      </w:r>
      <w:r>
        <w:rPr>
          <w:rFonts w:hint="eastAsia" w:ascii="宋体" w:hAnsi="宋体" w:eastAsia="宋体" w:cs="宋体"/>
          <w:lang w:eastAsia="zh-CN"/>
        </w:rPr>
        <w:t>省市获奖加</w:t>
      </w:r>
      <w:r>
        <w:rPr>
          <w:rFonts w:hint="eastAsia" w:ascii="宋体" w:hAnsi="宋体" w:eastAsia="宋体" w:cs="宋体"/>
          <w:lang w:val="en-US" w:eastAsia="zh-CN"/>
        </w:rPr>
        <w:t>10分，校级</w:t>
      </w:r>
      <w:r>
        <w:rPr>
          <w:rFonts w:hint="eastAsia" w:ascii="宋体" w:hAnsi="宋体" w:eastAsia="宋体" w:cs="宋体"/>
        </w:rPr>
        <w:t>一等奖加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分，二等奖加</w:t>
      </w: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</w:rPr>
        <w:t>分，三等奖加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分，优胜奖加3分。此项累计最</w:t>
      </w:r>
      <w:bookmarkStart w:id="0" w:name="_GoBack"/>
      <w:bookmarkEnd w:id="0"/>
      <w:r>
        <w:rPr>
          <w:rFonts w:hint="eastAsia" w:ascii="宋体" w:hAnsi="宋体" w:eastAsia="宋体" w:cs="宋体"/>
        </w:rPr>
        <w:t>多计20分。</w:t>
      </w:r>
    </w:p>
    <w:p>
      <w:pPr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四、合计</w:t>
      </w:r>
      <w:r>
        <w:rPr>
          <w:rFonts w:ascii="黑体" w:hAnsi="黑体" w:eastAsia="黑体" w:cs="黑体"/>
          <w:sz w:val="28"/>
          <w:szCs w:val="32"/>
        </w:rPr>
        <w:t>总分</w:t>
      </w:r>
    </w:p>
    <w:tbl>
      <w:tblPr>
        <w:tblStyle w:val="5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以上三项最终总分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D"/>
    <w:rsid w:val="00131BEA"/>
    <w:rsid w:val="002143CC"/>
    <w:rsid w:val="00276063"/>
    <w:rsid w:val="00276CC1"/>
    <w:rsid w:val="00497AF7"/>
    <w:rsid w:val="0050287D"/>
    <w:rsid w:val="005A698E"/>
    <w:rsid w:val="00634235"/>
    <w:rsid w:val="00715002"/>
    <w:rsid w:val="007F6502"/>
    <w:rsid w:val="008763D8"/>
    <w:rsid w:val="00D56857"/>
    <w:rsid w:val="00E331AC"/>
    <w:rsid w:val="11A51682"/>
    <w:rsid w:val="17F33040"/>
    <w:rsid w:val="24A05293"/>
    <w:rsid w:val="2F6141D7"/>
    <w:rsid w:val="41C64C81"/>
    <w:rsid w:val="664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样式1"/>
    <w:basedOn w:val="5"/>
    <w:qFormat/>
    <w:uiPriority w:val="99"/>
    <w:rPr>
      <w:rFonts w:cs="Times New Roman"/>
      <w:kern w:val="0"/>
      <w:sz w:val="22"/>
      <w:lang w:eastAsia="en-US" w:bidi="en-US"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2017-06-21T03:19:00Z</dcterms:created>
  <dc:creator>Ruixue Wang</dc:creator>
  <cp:lastModifiedBy>Administrator</cp:lastModifiedBy>
  <dcterms:modified xsi:type="dcterms:W3CDTF">2018-06-27T07:32:50Z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