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sz w:val="36"/>
          <w:szCs w:val="28"/>
        </w:rPr>
      </w:pPr>
      <w:r>
        <w:rPr>
          <w:rFonts w:hint="eastAsia" w:ascii="微软雅黑" w:hAnsi="微软雅黑" w:eastAsia="微软雅黑" w:cs="微软雅黑"/>
          <w:b/>
          <w:sz w:val="36"/>
          <w:szCs w:val="28"/>
        </w:rPr>
        <w:t xml:space="preserve"> 建信融通2023届秋季校园招聘正式开启</w:t>
      </w:r>
    </w:p>
    <w:p>
      <w:pPr>
        <w:adjustRightInd w:val="0"/>
        <w:snapToGrid w:val="0"/>
        <w:jc w:val="center"/>
        <w:rPr>
          <w:rFonts w:ascii="微软雅黑" w:hAnsi="微软雅黑" w:eastAsia="微软雅黑" w:cs="微软雅黑"/>
          <w:b/>
          <w:color w:val="FF0000"/>
          <w:szCs w:val="21"/>
        </w:rPr>
      </w:pPr>
    </w:p>
    <w:p>
      <w:pPr>
        <w:adjustRightInd w:val="0"/>
        <w:snapToGrid w:val="0"/>
        <w:jc w:val="center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蓄力梦想，融通未来</w:t>
      </w:r>
    </w:p>
    <w:p>
      <w:pPr>
        <w:adjustRightInd w:val="0"/>
        <w:snapToGrid w:val="0"/>
        <w:jc w:val="center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</w:rPr>
        <w:t>以融通为起点，开启人生新篇章；</w:t>
      </w:r>
    </w:p>
    <w:p>
      <w:pPr>
        <w:adjustRightInd w:val="0"/>
        <w:snapToGrid w:val="0"/>
        <w:jc w:val="center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以融通为舞台，开创未来新期冀。</w:t>
      </w:r>
    </w:p>
    <w:p>
      <w:pPr>
        <w:adjustRightInd w:val="0"/>
        <w:snapToGrid w:val="0"/>
        <w:jc w:val="center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加入融通，我们一起探索无限可能！</w:t>
      </w: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ascii="微软雅黑" w:hAnsi="微软雅黑" w:eastAsia="微软雅黑" w:cs="微软雅黑"/>
          <w:b/>
          <w:sz w:val="20"/>
          <w:szCs w:val="20"/>
        </w:rPr>
        <w:t>一、</w:t>
      </w:r>
      <w:r>
        <w:rPr>
          <w:rFonts w:hint="eastAsia" w:ascii="微软雅黑" w:hAnsi="微软雅黑" w:eastAsia="微软雅黑" w:cs="微软雅黑"/>
          <w:b/>
          <w:sz w:val="20"/>
          <w:szCs w:val="20"/>
        </w:rPr>
        <w:t>公司简介</w:t>
      </w: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  <w:highlight w:val="yellow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建信融通有限责任公司是由中国建设银行联合国铁集团、国家电网、中船集团、三峡集团、五矿集团发起设立的供应链金融信息服务公司，成立于2017年4月，注册资本人民币 2.4 亿元。公司以产融结合为基础，通过打造新型供应链生态圈，搭建全方位互联网供应链金融信息服务平台，深挖企业需求，为产业链上下游企业提供高效、优质、便捷的 "供应链+互联网"服务。</w:t>
      </w: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二、招聘对象：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z w:val="20"/>
          <w:szCs w:val="20"/>
        </w:rPr>
        <w:t>2023届国内外普通高等院校毕业的本科生、硕士生及博士生</w:t>
      </w: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三、职位类别：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研发类（后端研发/数据仓库）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运维类（应用运维/网络运维）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0"/>
          <w:szCs w:val="20"/>
        </w:rPr>
      </w:pPr>
    </w:p>
    <w:p>
      <w:pPr>
        <w:numPr>
          <w:ilvl w:val="0"/>
          <w:numId w:val="1"/>
        </w:num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工作地点：</w:t>
      </w:r>
    </w:p>
    <w:p>
      <w:pPr>
        <w:adjustRightInd w:val="0"/>
        <w:snapToGrid w:val="0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北京</w:t>
      </w: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五、招聘流程：</w:t>
      </w:r>
    </w:p>
    <w:p>
      <w:pPr>
        <w:adjustRightInd w:val="0"/>
        <w:snapToGrid w:val="0"/>
        <w:jc w:val="left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sz w:val="20"/>
          <w:szCs w:val="20"/>
        </w:rPr>
        <w:t>网申时间：投递时间截止至12月</w:t>
      </w:r>
      <w:r>
        <w:rPr>
          <w:rFonts w:ascii="微软雅黑" w:hAnsi="微软雅黑" w:eastAsia="微软雅黑" w:cs="微软雅黑"/>
          <w:bCs/>
          <w:sz w:val="20"/>
          <w:szCs w:val="20"/>
        </w:rPr>
        <w:t>10号</w:t>
      </w:r>
    </w:p>
    <w:p>
      <w:r>
        <w:rPr>
          <w:rFonts w:hint="eastAsia" w:ascii="微软雅黑" w:hAnsi="微软雅黑" w:eastAsia="微软雅黑" w:cs="微软雅黑"/>
          <w:sz w:val="20"/>
          <w:szCs w:val="20"/>
        </w:rPr>
        <w:t>网申流程：</w:t>
      </w:r>
      <w:r>
        <w:rPr>
          <w:rFonts w:hint="eastAsia" w:ascii="微软雅黑" w:hAnsi="微软雅黑" w:eastAsia="微软雅黑" w:cs="微软雅黑"/>
          <w:bCs/>
          <w:sz w:val="20"/>
          <w:szCs w:val="20"/>
        </w:rPr>
        <w:t>网申开启（11月7日）— 宣讲会（11月中下旬）— 线上测评（12月上旬）— 综合面试（12月中旬）— 发放offer（</w:t>
      </w:r>
      <w:r>
        <w:rPr>
          <w:rFonts w:ascii="微软雅黑" w:hAnsi="微软雅黑" w:eastAsia="微软雅黑" w:cs="微软雅黑"/>
          <w:bCs/>
          <w:sz w:val="20"/>
          <w:szCs w:val="20"/>
        </w:rPr>
        <w:t>23</w:t>
      </w:r>
      <w:r>
        <w:rPr>
          <w:rFonts w:hint="eastAsia" w:ascii="微软雅黑" w:hAnsi="微软雅黑" w:eastAsia="微软雅黑" w:cs="微软雅黑"/>
          <w:bCs/>
          <w:sz w:val="20"/>
          <w:szCs w:val="20"/>
        </w:rPr>
        <w:t>年1月）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注意事项：最多可申请2个职位，但只有一个申请可在应聘流程中</w:t>
      </w: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六、宣讲安排：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将于11月中下旬开启北京地区的高校线下宣讲会及空中宣讲会</w:t>
      </w: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ascii="微软雅黑" w:hAnsi="微软雅黑" w:eastAsia="微软雅黑" w:cs="微软雅黑"/>
          <w:b/>
          <w:sz w:val="20"/>
          <w:szCs w:val="20"/>
        </w:rPr>
        <w:t>七</w:t>
      </w:r>
      <w:r>
        <w:rPr>
          <w:rFonts w:hint="eastAsia" w:ascii="微软雅黑" w:hAnsi="微软雅黑" w:eastAsia="微软雅黑" w:cs="微软雅黑"/>
          <w:b/>
          <w:sz w:val="20"/>
          <w:szCs w:val="20"/>
        </w:rPr>
        <w:t>、</w:t>
      </w:r>
      <w:r>
        <w:rPr>
          <w:rFonts w:ascii="微软雅黑" w:hAnsi="微软雅黑" w:eastAsia="微软雅黑" w:cs="微软雅黑"/>
          <w:b/>
          <w:sz w:val="20"/>
          <w:szCs w:val="20"/>
        </w:rPr>
        <w:t>培养体系</w:t>
      </w:r>
      <w:r>
        <w:rPr>
          <w:rFonts w:hint="eastAsia" w:ascii="微软雅黑" w:hAnsi="微软雅黑" w:eastAsia="微软雅黑" w:cs="微软雅黑"/>
          <w:b/>
          <w:sz w:val="20"/>
          <w:szCs w:val="20"/>
        </w:rPr>
        <w:t>：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我们为校招同学打造专属的《融新计划》，通过理论授课、轮岗培训、导师带教、线上学习平台等多种方式进行为期一年的专属赋能计划，让同学们快速积累和飞跃。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第一阶段：探索融通文化、认识团队，制定专属培养计划，成为融通人；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第二阶段：职业素养课程、岗位专业知识学习、导师一对一带教，步入新手小白的进阶之路；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第三阶段：部门内部轮岗学习，专业技能实践锻炼，积累提升专业知识与技能；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第四阶段：确定岗位，独自承接项目工作，夯实技能，逐步沉淀知识并积累实践经验。</w:t>
      </w:r>
    </w:p>
    <w:p>
      <w:pPr>
        <w:pStyle w:val="4"/>
        <w:widowControl/>
        <w:shd w:val="clear" w:color="auto" w:fill="FFFFFF"/>
        <w:spacing w:beforeAutospacing="0" w:after="100" w:afterAutospacing="0"/>
        <w:rPr>
          <w:rFonts w:ascii="微软雅黑" w:hAnsi="微软雅黑" w:eastAsia="微软雅黑" w:cs="微软雅黑"/>
          <w:color w:val="333333"/>
          <w:sz w:val="16"/>
          <w:szCs w:val="16"/>
          <w:highlight w:val="yellow"/>
          <w:shd w:val="clear" w:color="auto" w:fill="FFFFFF"/>
        </w:rPr>
      </w:pPr>
    </w:p>
    <w:p>
      <w:pPr>
        <w:adjustRightInd w:val="0"/>
        <w:snapToGrid w:val="0"/>
        <w:rPr>
          <w:rFonts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八、薪资福利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薪资待遇：具有市场竞争力的薪资总包及与公司共同成长的特殊激励奖金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丰厚福利：全额五险一金，补充商业医疗保险、餐饮补贴、通讯补贴、过节费、免费加班打车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悠长假期：带薪年假、公司福利假、带薪病假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融通FUN：花式团建、司龄礼品、节日礼盒</w:t>
      </w:r>
    </w:p>
    <w:p>
      <w:pPr>
        <w:pStyle w:val="4"/>
        <w:widowControl/>
        <w:spacing w:beforeAutospacing="0" w:after="100" w:afterAutospacing="0"/>
        <w:rPr>
          <w:rFonts w:ascii="微软雅黑" w:hAnsi="微软雅黑" w:eastAsia="微软雅黑" w:cs="微软雅黑"/>
          <w:kern w:val="2"/>
          <w:sz w:val="20"/>
          <w:szCs w:val="20"/>
        </w:rPr>
      </w:pPr>
    </w:p>
    <w:p>
      <w:pPr>
        <w:numPr>
          <w:ilvl w:val="0"/>
          <w:numId w:val="2"/>
        </w:numPr>
        <w:adjustRightInd w:val="0"/>
        <w:snapToGrid w:val="0"/>
        <w:rPr>
          <w:rFonts w:hint="eastAsia" w:ascii="微软雅黑" w:hAnsi="微软雅黑" w:eastAsia="微软雅黑" w:cs="微软雅黑"/>
          <w:b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sz w:val="20"/>
          <w:szCs w:val="20"/>
        </w:rPr>
        <w:t>投递方式</w:t>
      </w:r>
    </w:p>
    <w:p>
      <w:pPr>
        <w:numPr>
          <w:numId w:val="0"/>
        </w:numPr>
        <w:adjustRightInd w:val="0"/>
        <w:snapToGrid w:val="0"/>
        <w:ind w:firstLine="200" w:firstLineChars="100"/>
        <w:rPr>
          <w:rFonts w:hint="eastAsia" w:ascii="微软雅黑" w:hAnsi="微软雅黑" w:eastAsia="微软雅黑" w:cs="微软雅黑"/>
          <w:b w:val="0"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instrText xml:space="preserve"> HYPERLINK "https://jinshuju.net/f/Q0MAUm" </w:instrTex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bCs/>
          <w:sz w:val="20"/>
          <w:szCs w:val="20"/>
        </w:rPr>
        <w:t>https://jinshuju.net/f/Q0MAUm</w:t>
      </w:r>
      <w:r>
        <w:rPr>
          <w:rFonts w:hint="eastAsia" w:ascii="微软雅黑" w:hAnsi="微软雅黑" w:eastAsia="微软雅黑" w:cs="微软雅黑"/>
          <w:b w:val="0"/>
          <w:bCs/>
          <w:sz w:val="20"/>
          <w:szCs w:val="20"/>
        </w:rPr>
        <w:fldChar w:fldCharType="end"/>
      </w:r>
    </w:p>
    <w:p>
      <w:pPr>
        <w:numPr>
          <w:numId w:val="0"/>
        </w:numPr>
        <w:adjustRightInd w:val="0"/>
        <w:snapToGrid w:val="0"/>
        <w:ind w:firstLine="200" w:firstLineChars="100"/>
        <w:rPr>
          <w:rFonts w:hint="eastAsia" w:ascii="微软雅黑" w:hAnsi="微软雅黑" w:eastAsia="微软雅黑" w:cs="微软雅黑"/>
          <w:b w:val="0"/>
          <w:bCs/>
          <w:sz w:val="20"/>
          <w:szCs w:val="20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强大的国企股东背景，年轻的团队，扁平的管理，愉悦的氛围，让你同时拥有稳定又快乐的成长。</w:t>
      </w:r>
    </w:p>
    <w:p>
      <w:pPr>
        <w:adjustRightInd w:val="0"/>
        <w:snapToGrid w:val="0"/>
        <w:jc w:val="center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建信融通2023届秋季校园招聘项目全新出发，期待每一位优秀的同学加入！</w:t>
      </w:r>
    </w:p>
    <w:p>
      <w:pPr>
        <w:pStyle w:val="4"/>
        <w:widowControl/>
        <w:spacing w:beforeAutospacing="0" w:after="100" w:afterAutospacing="0"/>
        <w:rPr>
          <w:rFonts w:ascii="微软雅黑" w:hAnsi="微软雅黑" w:eastAsia="微软雅黑" w:cs="微软雅黑"/>
          <w:color w:val="333333"/>
          <w:sz w:val="20"/>
          <w:szCs w:val="2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D43BD"/>
    <w:multiLevelType w:val="singleLevel"/>
    <w:tmpl w:val="C9DD43B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243BBB"/>
    <w:multiLevelType w:val="singleLevel"/>
    <w:tmpl w:val="3B243BB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kNmQ0M2E0ZTkyMGFiZGExN2Y3MDM0NWMyZGI3Y2IifQ=="/>
  </w:docVars>
  <w:rsids>
    <w:rsidRoot w:val="00BA5E1B"/>
    <w:rsid w:val="00247A3D"/>
    <w:rsid w:val="00250215"/>
    <w:rsid w:val="003D7A24"/>
    <w:rsid w:val="004B6DC1"/>
    <w:rsid w:val="0069092C"/>
    <w:rsid w:val="00690B1E"/>
    <w:rsid w:val="00710806"/>
    <w:rsid w:val="008E0FF0"/>
    <w:rsid w:val="008E562B"/>
    <w:rsid w:val="00947AEA"/>
    <w:rsid w:val="009E2A95"/>
    <w:rsid w:val="00A803CD"/>
    <w:rsid w:val="00AE1F47"/>
    <w:rsid w:val="00B52689"/>
    <w:rsid w:val="00B87182"/>
    <w:rsid w:val="00BA5E1B"/>
    <w:rsid w:val="00D838E7"/>
    <w:rsid w:val="00DC2274"/>
    <w:rsid w:val="051931EE"/>
    <w:rsid w:val="05E06625"/>
    <w:rsid w:val="0B043FF8"/>
    <w:rsid w:val="0CA43A03"/>
    <w:rsid w:val="0FA25D28"/>
    <w:rsid w:val="0FA85BE1"/>
    <w:rsid w:val="11E0659F"/>
    <w:rsid w:val="12CA3D79"/>
    <w:rsid w:val="15644F17"/>
    <w:rsid w:val="161B669A"/>
    <w:rsid w:val="17E35153"/>
    <w:rsid w:val="1DCD1223"/>
    <w:rsid w:val="1E23763B"/>
    <w:rsid w:val="1EAD06B0"/>
    <w:rsid w:val="1F7B1A65"/>
    <w:rsid w:val="207376A3"/>
    <w:rsid w:val="2266747B"/>
    <w:rsid w:val="22963C78"/>
    <w:rsid w:val="23B95E70"/>
    <w:rsid w:val="2F182598"/>
    <w:rsid w:val="2F2411F9"/>
    <w:rsid w:val="305B0460"/>
    <w:rsid w:val="313B0D66"/>
    <w:rsid w:val="31C143D8"/>
    <w:rsid w:val="33DB0686"/>
    <w:rsid w:val="340E0AFB"/>
    <w:rsid w:val="369C2236"/>
    <w:rsid w:val="36C22E36"/>
    <w:rsid w:val="39916AF0"/>
    <w:rsid w:val="39A6259B"/>
    <w:rsid w:val="3AB21184"/>
    <w:rsid w:val="3BE92C13"/>
    <w:rsid w:val="3FEA0D08"/>
    <w:rsid w:val="41775363"/>
    <w:rsid w:val="41D95E79"/>
    <w:rsid w:val="47A877C9"/>
    <w:rsid w:val="482623EF"/>
    <w:rsid w:val="4B1873D2"/>
    <w:rsid w:val="4DA96DE3"/>
    <w:rsid w:val="4DAA70C2"/>
    <w:rsid w:val="4E205917"/>
    <w:rsid w:val="4EC30A83"/>
    <w:rsid w:val="4ED10111"/>
    <w:rsid w:val="4FBD35E6"/>
    <w:rsid w:val="50111B7F"/>
    <w:rsid w:val="506E638C"/>
    <w:rsid w:val="539166E4"/>
    <w:rsid w:val="540E3B7C"/>
    <w:rsid w:val="58B06B3A"/>
    <w:rsid w:val="59B817D3"/>
    <w:rsid w:val="5A5F51D6"/>
    <w:rsid w:val="5B1C4013"/>
    <w:rsid w:val="5E030DBE"/>
    <w:rsid w:val="60D12E98"/>
    <w:rsid w:val="60DA02C8"/>
    <w:rsid w:val="6372336A"/>
    <w:rsid w:val="657B744A"/>
    <w:rsid w:val="660922E3"/>
    <w:rsid w:val="6780065A"/>
    <w:rsid w:val="67FA56DC"/>
    <w:rsid w:val="69561038"/>
    <w:rsid w:val="69822524"/>
    <w:rsid w:val="69920C76"/>
    <w:rsid w:val="6A2922A9"/>
    <w:rsid w:val="6A865992"/>
    <w:rsid w:val="6C33740F"/>
    <w:rsid w:val="6CEF77DA"/>
    <w:rsid w:val="6E347E0F"/>
    <w:rsid w:val="6E6123BE"/>
    <w:rsid w:val="6F575204"/>
    <w:rsid w:val="739203D4"/>
    <w:rsid w:val="755E6D0B"/>
    <w:rsid w:val="759B5D82"/>
    <w:rsid w:val="761D6CDC"/>
    <w:rsid w:val="76984A3E"/>
    <w:rsid w:val="790C34C1"/>
    <w:rsid w:val="7AED2E7F"/>
    <w:rsid w:val="7B2A465B"/>
    <w:rsid w:val="7BBA79BE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99"/>
    <w:rPr>
      <w:rFonts w:cs="Times New Roman"/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7987F-8AEE-43A0-B036-C5B2073F23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920</Words>
  <Characters>973</Characters>
  <Lines>1</Lines>
  <Paragraphs>2</Paragraphs>
  <TotalTime>295</TotalTime>
  <ScaleCrop>false</ScaleCrop>
  <LinksUpToDate>false</LinksUpToDate>
  <CharactersWithSpaces>981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2022-11-05T05:00:00Z</dcterms:created>
  <dc:creator>jxrt</dc:creator>
  <cp:lastModifiedBy>可雾2333</cp:lastModifiedBy>
  <dcterms:modified xsi:type="dcterms:W3CDTF">2022-11-25T03:15:38Z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BBA9CA6D9E454436ACB144F68849BDCC</vt:lpwstr>
  </property>
</Properties>
</file>